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C3A" w:rsidRDefault="00682C3A" w:rsidP="00851151">
      <w:pPr>
        <w:spacing w:line="480" w:lineRule="auto"/>
        <w:rPr>
          <w:rFonts w:ascii="Times New Roman" w:hAnsi="Times New Roman" w:cs="Times New Roman"/>
          <w:sz w:val="24"/>
          <w:szCs w:val="24"/>
        </w:rPr>
      </w:pPr>
    </w:p>
    <w:p w:rsidR="00851151" w:rsidRDefault="00851151" w:rsidP="00851151">
      <w:pPr>
        <w:spacing w:line="480" w:lineRule="auto"/>
        <w:rPr>
          <w:rFonts w:ascii="Times New Roman" w:hAnsi="Times New Roman" w:cs="Times New Roman"/>
          <w:sz w:val="24"/>
          <w:szCs w:val="24"/>
        </w:rPr>
      </w:pPr>
    </w:p>
    <w:p w:rsidR="00D0697F" w:rsidRPr="00D0697F" w:rsidRDefault="00D0697F" w:rsidP="00D0697F">
      <w:pPr>
        <w:shd w:val="clear" w:color="auto" w:fill="FFFFFF"/>
        <w:spacing w:line="240" w:lineRule="auto"/>
        <w:rPr>
          <w:rFonts w:ascii="Lucida Sans Unicode" w:eastAsia="Times New Roman" w:hAnsi="Lucida Sans Unicode" w:cs="Lucida Sans Unicode"/>
          <w:color w:val="72777A"/>
          <w:spacing w:val="3"/>
          <w:sz w:val="24"/>
          <w:szCs w:val="24"/>
        </w:rPr>
      </w:pPr>
      <w:r>
        <w:rPr>
          <w:rFonts w:ascii="Lucida Sans Unicode" w:eastAsia="Times New Roman" w:hAnsi="Lucida Sans Unicode" w:cs="Lucida Sans Unicode"/>
          <w:color w:val="72777A"/>
          <w:spacing w:val="3"/>
          <w:sz w:val="24"/>
          <w:szCs w:val="24"/>
        </w:rPr>
        <w:t xml:space="preserve">Instructor </w:t>
      </w:r>
      <w:r w:rsidRPr="00D0697F">
        <w:rPr>
          <w:rFonts w:ascii="Lucida Sans Unicode" w:eastAsia="Times New Roman" w:hAnsi="Lucida Sans Unicode" w:cs="Lucida Sans Unicode"/>
          <w:color w:val="72777A"/>
          <w:spacing w:val="3"/>
          <w:sz w:val="24"/>
          <w:szCs w:val="24"/>
        </w:rPr>
        <w:t>Individual Feedback</w:t>
      </w:r>
    </w:p>
    <w:p w:rsidR="00D0697F" w:rsidRPr="00D0697F" w:rsidRDefault="00D0697F" w:rsidP="00D0697F">
      <w:pPr>
        <w:shd w:val="clear" w:color="auto" w:fill="FFFFFF"/>
        <w:spacing w:before="120" w:after="100" w:afterAutospacing="1" w:line="240" w:lineRule="auto"/>
        <w:rPr>
          <w:rFonts w:ascii="Lucida Sans Unicode" w:eastAsia="Times New Roman" w:hAnsi="Lucida Sans Unicode" w:cs="Lucida Sans Unicode"/>
          <w:color w:val="565A5C"/>
          <w:spacing w:val="3"/>
          <w:sz w:val="24"/>
          <w:szCs w:val="24"/>
        </w:rPr>
      </w:pPr>
      <w:r>
        <w:rPr>
          <w:rFonts w:eastAsia="Times New Roman" w:cs="Arial"/>
          <w:color w:val="565A5C"/>
          <w:spacing w:val="3"/>
          <w:sz w:val="20"/>
          <w:szCs w:val="20"/>
        </w:rPr>
        <w:t>I</w:t>
      </w:r>
      <w:r w:rsidRPr="00D0697F">
        <w:rPr>
          <w:rFonts w:eastAsia="Times New Roman" w:cs="Arial"/>
          <w:color w:val="565A5C"/>
          <w:spacing w:val="3"/>
          <w:sz w:val="20"/>
          <w:szCs w:val="20"/>
        </w:rPr>
        <w:t xml:space="preserve">n this your first final project assignment, you were asked to select and research a topic pertaining to an emerging technology, such as 3D printing, artificial intelligence and cognitive systems, augmented reality, business intelligence, cloud computing, energy harvesting and future fuels, the Internet of things, medical nanotechnology, molecular manufacturing, next-generation converged networks, robotics, synthetic biology, telemedicine, and wireless or mobile technologies. Once approved, you were then directed to address five key points, designed to properly introduce your chosen topic to the reader. Toward these tasks and goals, you did </w:t>
      </w:r>
      <w:proofErr w:type="gramStart"/>
      <w:r w:rsidRPr="00D0697F">
        <w:rPr>
          <w:rFonts w:eastAsia="Times New Roman" w:cs="Arial"/>
          <w:color w:val="565A5C"/>
          <w:spacing w:val="3"/>
          <w:sz w:val="20"/>
          <w:szCs w:val="20"/>
        </w:rPr>
        <w:t>an</w:t>
      </w:r>
      <w:proofErr w:type="gramEnd"/>
      <w:r w:rsidRPr="00D0697F">
        <w:rPr>
          <w:rFonts w:eastAsia="Times New Roman" w:cs="Arial"/>
          <w:color w:val="565A5C"/>
          <w:spacing w:val="3"/>
          <w:sz w:val="20"/>
          <w:szCs w:val="20"/>
        </w:rPr>
        <w:t xml:space="preserve"> fair job establishing what I consider to be a good starting point. I look forward to watching this effort evolve during the upcoming weeks. And while your assumptions, assertions, and opinions seemed on target, your 3.7-pages of content, however, fell over 25% short of the minimum deliverable length of 5 to 7 pages for this graduate assignment. </w:t>
      </w:r>
      <w:r w:rsidRPr="00D0697F">
        <w:rPr>
          <w:rFonts w:eastAsia="Times New Roman" w:cs="Arial"/>
          <w:color w:val="000000"/>
          <w:spacing w:val="3"/>
          <w:sz w:val="20"/>
          <w:szCs w:val="20"/>
        </w:rPr>
        <w:t>Consequently, available points were unearned. Please closely watch the stated requirements as we proceed through the course. While your grade is not based upon any actual number of words submitted, the depth and breadth of the content submitted does suffer when graduate-level minimum deliverable lengths are not met. In this case, you could have more fully addressed deficient areas of the task instructions (i.e., " Describe how an organization can achieve foresight regarding the markets and technologies and insight into its capabilities to plan technology deployment."). Also, as a reminder, a Course Announcement regarding assignment minimum lengths was posted at the beginning of the class. Please let me know if you have any questions. Thanks</w:t>
      </w:r>
      <w:bookmarkStart w:id="0" w:name="_GoBack"/>
      <w:bookmarkEnd w:id="0"/>
    </w:p>
    <w:p w:rsidR="00851151" w:rsidRDefault="00851151" w:rsidP="00851151">
      <w:pPr>
        <w:spacing w:line="480" w:lineRule="auto"/>
        <w:rPr>
          <w:rFonts w:ascii="Times New Roman" w:hAnsi="Times New Roman" w:cs="Times New Roman"/>
          <w:sz w:val="24"/>
          <w:szCs w:val="24"/>
        </w:rPr>
      </w:pPr>
    </w:p>
    <w:p w:rsidR="00851151" w:rsidRDefault="00851151" w:rsidP="00851151">
      <w:pPr>
        <w:spacing w:line="480" w:lineRule="auto"/>
        <w:rPr>
          <w:rFonts w:ascii="Times New Roman" w:hAnsi="Times New Roman" w:cs="Times New Roman"/>
          <w:sz w:val="24"/>
          <w:szCs w:val="24"/>
        </w:rPr>
      </w:pPr>
    </w:p>
    <w:p w:rsidR="00ED230C" w:rsidRDefault="00ED230C">
      <w:pPr>
        <w:spacing w:after="200"/>
        <w:rPr>
          <w:rFonts w:ascii="Times New Roman" w:hAnsi="Times New Roman" w:cs="Times New Roman"/>
          <w:sz w:val="24"/>
          <w:szCs w:val="24"/>
        </w:rPr>
      </w:pPr>
      <w:r>
        <w:rPr>
          <w:rFonts w:ascii="Times New Roman" w:hAnsi="Times New Roman" w:cs="Times New Roman"/>
          <w:sz w:val="24"/>
          <w:szCs w:val="24"/>
        </w:rPr>
        <w:br w:type="page"/>
      </w:r>
    </w:p>
    <w:p w:rsidR="00177EBA" w:rsidRPr="00177EBA" w:rsidRDefault="00177EBA" w:rsidP="00177EBA">
      <w:pPr>
        <w:spacing w:line="480" w:lineRule="auto"/>
        <w:ind w:firstLine="720"/>
        <w:rPr>
          <w:rFonts w:ascii="Times New Roman" w:hAnsi="Times New Roman" w:cs="Times New Roman"/>
          <w:sz w:val="24"/>
          <w:szCs w:val="24"/>
        </w:rPr>
      </w:pPr>
    </w:p>
    <w:p w:rsidR="00177EBA" w:rsidRPr="00177EBA" w:rsidRDefault="00177EBA" w:rsidP="00177EBA">
      <w:pPr>
        <w:spacing w:line="480" w:lineRule="auto"/>
        <w:ind w:firstLine="720"/>
        <w:jc w:val="center"/>
        <w:rPr>
          <w:rFonts w:ascii="Times New Roman" w:hAnsi="Times New Roman" w:cs="Times New Roman"/>
          <w:sz w:val="24"/>
          <w:szCs w:val="24"/>
        </w:rPr>
      </w:pPr>
      <w:r w:rsidRPr="00177EBA">
        <w:rPr>
          <w:rFonts w:ascii="Times New Roman" w:hAnsi="Times New Roman" w:cs="Times New Roman"/>
          <w:sz w:val="24"/>
          <w:szCs w:val="24"/>
        </w:rPr>
        <w:t>Emerging Technology in Health Care Telemedicine</w:t>
      </w:r>
    </w:p>
    <w:p w:rsidR="00177EBA" w:rsidRPr="00177EBA" w:rsidRDefault="00177EBA" w:rsidP="00177EBA">
      <w:pPr>
        <w:spacing w:line="480" w:lineRule="auto"/>
        <w:ind w:firstLine="720"/>
        <w:rPr>
          <w:rFonts w:ascii="Times New Roman" w:hAnsi="Times New Roman" w:cs="Times New Roman"/>
          <w:sz w:val="24"/>
          <w:szCs w:val="24"/>
        </w:rPr>
      </w:pPr>
      <w:r w:rsidRPr="00177EBA">
        <w:rPr>
          <w:rFonts w:ascii="Times New Roman" w:hAnsi="Times New Roman" w:cs="Times New Roman"/>
          <w:sz w:val="24"/>
          <w:szCs w:val="24"/>
        </w:rPr>
        <w:t xml:space="preserve">Emerging health care technologies of the future what’s to come and what do healthcare facilities need to consider before doctors start making house calls via internet technologies through telemedicine. Telemedicine is not a new technology, it originally had its first appearance in April 1924 as the “radio doctor” this linked patients by sound and television (Fields, </w:t>
      </w:r>
      <w:proofErr w:type="spellStart"/>
      <w:r w:rsidRPr="00177EBA">
        <w:rPr>
          <w:rFonts w:ascii="Times New Roman" w:hAnsi="Times New Roman" w:cs="Times New Roman"/>
          <w:sz w:val="24"/>
          <w:szCs w:val="24"/>
        </w:rPr>
        <w:t>n.d.</w:t>
      </w:r>
      <w:proofErr w:type="spellEnd"/>
      <w:r w:rsidRPr="00177EBA">
        <w:rPr>
          <w:rFonts w:ascii="Times New Roman" w:hAnsi="Times New Roman" w:cs="Times New Roman"/>
          <w:sz w:val="24"/>
          <w:szCs w:val="24"/>
        </w:rPr>
        <w:t>). However, with the progress in technology growing rapidly it has given telemedicine the ability to continue to emerge as a new upcoming technology, according to the American Journal of Accountable care by 2025 a shortage of physicians is probable, therefore the need for a more effective way for physicians to care for patients is a growing demand (</w:t>
      </w:r>
      <w:proofErr w:type="spellStart"/>
      <w:r w:rsidRPr="00177EBA">
        <w:rPr>
          <w:rFonts w:ascii="Times New Roman" w:hAnsi="Times New Roman" w:cs="Times New Roman"/>
          <w:sz w:val="24"/>
          <w:szCs w:val="24"/>
        </w:rPr>
        <w:t>Sherling</w:t>
      </w:r>
      <w:proofErr w:type="spellEnd"/>
      <w:r w:rsidRPr="00177EBA">
        <w:rPr>
          <w:rFonts w:ascii="Times New Roman" w:hAnsi="Times New Roman" w:cs="Times New Roman"/>
          <w:sz w:val="24"/>
          <w:szCs w:val="24"/>
        </w:rPr>
        <w:t xml:space="preserve"> MD &amp; </w:t>
      </w:r>
      <w:proofErr w:type="spellStart"/>
      <w:r w:rsidRPr="00177EBA">
        <w:rPr>
          <w:rFonts w:ascii="Times New Roman" w:hAnsi="Times New Roman" w:cs="Times New Roman"/>
          <w:sz w:val="24"/>
          <w:szCs w:val="24"/>
        </w:rPr>
        <w:t>Sherling</w:t>
      </w:r>
      <w:proofErr w:type="spellEnd"/>
      <w:r w:rsidRPr="00177EBA">
        <w:rPr>
          <w:rFonts w:ascii="Times New Roman" w:hAnsi="Times New Roman" w:cs="Times New Roman"/>
          <w:sz w:val="24"/>
          <w:szCs w:val="24"/>
        </w:rPr>
        <w:t xml:space="preserve"> MD, MBA, 2017).  Telemedicine will continue to emerge to meet patient and provider needs as they move forward with patient medical care in mind. </w:t>
      </w:r>
    </w:p>
    <w:p w:rsidR="00177EBA" w:rsidRPr="00177EBA" w:rsidRDefault="00177EBA" w:rsidP="00177EBA">
      <w:pPr>
        <w:spacing w:line="480" w:lineRule="auto"/>
        <w:ind w:firstLine="720"/>
        <w:rPr>
          <w:rFonts w:ascii="Times New Roman" w:hAnsi="Times New Roman" w:cs="Times New Roman"/>
          <w:sz w:val="24"/>
          <w:szCs w:val="24"/>
        </w:rPr>
      </w:pPr>
      <w:r w:rsidRPr="00177EBA">
        <w:rPr>
          <w:rFonts w:ascii="Times New Roman" w:hAnsi="Times New Roman" w:cs="Times New Roman"/>
          <w:sz w:val="24"/>
          <w:szCs w:val="24"/>
        </w:rPr>
        <w:t xml:space="preserve">Technology advances in healthcare are a prodigious opportunity to achieve positive benefits for patients, but do the benefits outweigh the risk. Telemedicine technology is designed to help decrease a patient wait time in a physician office and provide more efficient medical care for chronic diseases. It has been shown that it decreases the cost and increases productivity through appropriate management of chronic diseases. The CDC has acknowledged that chronic diseases contribute to a vast impact on the cost of health care and if the disease were managed correctly it can reduce costs (CDC, 2018). If the providers have a patient who is wheelchair bound who has diabetes a chronic disease that affects millions in the United States, this patient would benefit from telemedicine visits since he/she would not have to worry about getting to a physician office to wait to be seen. Therefore, the patient would be more likely to obtain the medical care he/she </w:t>
      </w:r>
      <w:r>
        <w:rPr>
          <w:rFonts w:ascii="Times New Roman" w:hAnsi="Times New Roman" w:cs="Times New Roman"/>
          <w:sz w:val="24"/>
          <w:szCs w:val="24"/>
        </w:rPr>
        <w:t>needs.</w:t>
      </w:r>
    </w:p>
    <w:p w:rsidR="00177EBA" w:rsidRPr="00177EBA" w:rsidRDefault="00177EBA" w:rsidP="00177EBA">
      <w:pPr>
        <w:spacing w:line="480" w:lineRule="auto"/>
        <w:ind w:firstLine="720"/>
        <w:rPr>
          <w:rFonts w:ascii="Times New Roman" w:hAnsi="Times New Roman" w:cs="Times New Roman"/>
          <w:sz w:val="24"/>
          <w:szCs w:val="24"/>
        </w:rPr>
      </w:pPr>
      <w:r w:rsidRPr="00177EBA">
        <w:rPr>
          <w:rFonts w:ascii="Times New Roman" w:hAnsi="Times New Roman" w:cs="Times New Roman"/>
          <w:sz w:val="24"/>
          <w:szCs w:val="24"/>
        </w:rPr>
        <w:lastRenderedPageBreak/>
        <w:t xml:space="preserve">As an organization considers committing to moving forward is positive with all the benefits it offers. However, even with all the advances and benefits, it offers there are also pitfalls that need to be considered when making a decision on how to proceed. Ethical patient care is extremely important when dealing with new technology. Some of the pitfalls that will need to be considered are the patient-doctor relationship making sure that the patient is comfortable with his/her medical care, patient privacy invasion threats, knowing there are scammers out there that will attempt to get patient information. The patient will need to know his/her information is being delivered to the correct person and is safe from being seen by others. It’s also important to be aware that not all patients will want to adopt the technology and each situation is different. At the end of the day all the ethical issues that are seen with patients in the office, can be identified in telemedicine patients. Nevertheless, the same security measures and care/hospitality should be demonstrated in both cases. </w:t>
      </w:r>
    </w:p>
    <w:p w:rsidR="00177EBA" w:rsidRPr="00177EBA" w:rsidRDefault="00177EBA" w:rsidP="00177EBA">
      <w:pPr>
        <w:spacing w:line="480" w:lineRule="auto"/>
        <w:ind w:firstLine="720"/>
        <w:rPr>
          <w:rFonts w:ascii="Times New Roman" w:hAnsi="Times New Roman" w:cs="Times New Roman"/>
          <w:sz w:val="24"/>
          <w:szCs w:val="24"/>
        </w:rPr>
      </w:pPr>
      <w:r w:rsidRPr="00177EBA">
        <w:rPr>
          <w:rFonts w:ascii="Times New Roman" w:hAnsi="Times New Roman" w:cs="Times New Roman"/>
          <w:sz w:val="24"/>
          <w:szCs w:val="24"/>
        </w:rPr>
        <w:t xml:space="preserve">Creating a process so the organization can create an assessment to help commit to a decision regarding moving forward with telemedicine. Each organization will need to decide how adaptable their patient population would be in the emerging technology. Ordinarily, patients fill out satisfaction surveys after receiving treatment at a facility, therefore one option would be to add a simple explanation of telemedicine and determine who would be interested in the service. More so getting providers to adapt to the new technology, through engagement opportunities. To find out if there is a need for this service the organization can search other organization that is already current with telemedicine and receive their feedback to observe how the technology is working for them and what are their opinions and does it seem to be effective. Having a sales representative for the product come in and demonstrate the use of the program to not only staff but also could be offered to the interested patient who would like to comprehend </w:t>
      </w:r>
      <w:r w:rsidRPr="00177EBA">
        <w:rPr>
          <w:rFonts w:ascii="Times New Roman" w:hAnsi="Times New Roman" w:cs="Times New Roman"/>
          <w:sz w:val="24"/>
          <w:szCs w:val="24"/>
        </w:rPr>
        <w:lastRenderedPageBreak/>
        <w:t xml:space="preserve">what is expected. As they move forward with their assessment, they would need to evaluate how they are going to develop this technology to benefit the organization and patients the most. The plan may consist of taking on the technology in one area such as pediatrics, to begin with, the ability for parents not to have to leave work to take their children to a health check would be easily marketable.  Committing to telemedicine will open doors for the organization, consequently, it would also reach a population that may otherwise not be interested in going to set in a doctor’s office. So to commit fully would be the best option to achieve a competitive advantage over competitors.  Completing a full assessment gives the organization the adequate information to make an educated commitment, knowing the risk, the benefits, and what is expected of market opportunities this technology offers. </w:t>
      </w:r>
    </w:p>
    <w:p w:rsidR="00177EBA" w:rsidRPr="00177EBA" w:rsidRDefault="00177EBA" w:rsidP="00177EBA">
      <w:pPr>
        <w:spacing w:line="480" w:lineRule="auto"/>
        <w:ind w:firstLine="720"/>
        <w:rPr>
          <w:rFonts w:ascii="Times New Roman" w:hAnsi="Times New Roman" w:cs="Times New Roman"/>
          <w:sz w:val="24"/>
          <w:szCs w:val="24"/>
        </w:rPr>
      </w:pPr>
      <w:r w:rsidRPr="00177EBA">
        <w:rPr>
          <w:rFonts w:ascii="Times New Roman" w:hAnsi="Times New Roman" w:cs="Times New Roman"/>
          <w:sz w:val="24"/>
          <w:szCs w:val="24"/>
        </w:rPr>
        <w:t xml:space="preserve">    With new technology, the risk is to be expected, especially in a sensitive environment such as the medical field. The security risk is one of the high organizational risks identified that will need more governing attention because it not only affects the patient but the organization as well.  Patients need the confidence that their information is secure and there is a safety measure in place, preventing breaches as well as being monitored. A technology risk is ensuring the reliability of technology to provide effective care a medium risk and is more manageable because the patient still can receive the care they need and equipment can be repaired. The low risk for telemedicine would be marketed, and it would be very manageable with a good public relations officer due to the need and the researcher that has been done on accepting telemedicine, from 2012-2015 a neurologist from Norway conducted a study where patients with headaches were screened either traditionally or through telehealth the conclusion of the study was that telemedicine is accepted, and saves the patient time and money (</w:t>
      </w:r>
      <w:proofErr w:type="spellStart"/>
      <w:r w:rsidRPr="00177EBA">
        <w:rPr>
          <w:rFonts w:ascii="Times New Roman" w:hAnsi="Times New Roman" w:cs="Times New Roman"/>
          <w:sz w:val="24"/>
          <w:szCs w:val="24"/>
        </w:rPr>
        <w:t>Eysenbach</w:t>
      </w:r>
      <w:proofErr w:type="spellEnd"/>
      <w:r w:rsidRPr="00177EBA">
        <w:rPr>
          <w:rFonts w:ascii="Times New Roman" w:hAnsi="Times New Roman" w:cs="Times New Roman"/>
          <w:sz w:val="24"/>
          <w:szCs w:val="24"/>
        </w:rPr>
        <w:t>, 2016). Therefore, making the market risk the most manageable and a very low risk.</w:t>
      </w:r>
    </w:p>
    <w:p w:rsidR="00177EBA" w:rsidRPr="00177EBA" w:rsidRDefault="00177EBA" w:rsidP="00177EBA">
      <w:pPr>
        <w:spacing w:line="480" w:lineRule="auto"/>
        <w:ind w:firstLine="720"/>
        <w:rPr>
          <w:rFonts w:ascii="Times New Roman" w:hAnsi="Times New Roman" w:cs="Times New Roman"/>
          <w:sz w:val="24"/>
          <w:szCs w:val="24"/>
        </w:rPr>
      </w:pPr>
      <w:r w:rsidRPr="00177EBA">
        <w:rPr>
          <w:rFonts w:ascii="Times New Roman" w:hAnsi="Times New Roman" w:cs="Times New Roman"/>
          <w:sz w:val="24"/>
          <w:szCs w:val="24"/>
        </w:rPr>
        <w:lastRenderedPageBreak/>
        <w:t xml:space="preserve">    An organization can understand the upcoming technology and market by, doing their research on studies that have already been completed by other organizations. Reach out to the American Telemedicine Association for more information, attended their annual conference the association offers to help better understand what’s coming with the technology and any changes that are expected (American Telemedicine Association, </w:t>
      </w:r>
      <w:proofErr w:type="spellStart"/>
      <w:r w:rsidRPr="00177EBA">
        <w:rPr>
          <w:rFonts w:ascii="Times New Roman" w:hAnsi="Times New Roman" w:cs="Times New Roman"/>
          <w:sz w:val="24"/>
          <w:szCs w:val="24"/>
        </w:rPr>
        <w:t>n.d.</w:t>
      </w:r>
      <w:proofErr w:type="spellEnd"/>
      <w:r w:rsidRPr="00177EBA">
        <w:rPr>
          <w:rFonts w:ascii="Times New Roman" w:hAnsi="Times New Roman" w:cs="Times New Roman"/>
          <w:sz w:val="24"/>
          <w:szCs w:val="24"/>
        </w:rPr>
        <w:t xml:space="preserve">). The best strategy an organization can develop to reduce risk is to not treat this emerging technology’s ability any different than patients seen in traditional settings. Assess the privacy and security risk their telemedicine system has, create policies to ensure that communication from providers to parties is adequate, </w:t>
      </w:r>
      <w:proofErr w:type="gramStart"/>
      <w:r w:rsidRPr="00177EBA">
        <w:rPr>
          <w:rFonts w:ascii="Times New Roman" w:hAnsi="Times New Roman" w:cs="Times New Roman"/>
          <w:sz w:val="24"/>
          <w:szCs w:val="24"/>
        </w:rPr>
        <w:t>follow</w:t>
      </w:r>
      <w:proofErr w:type="gramEnd"/>
      <w:r w:rsidRPr="00177EBA">
        <w:rPr>
          <w:rFonts w:ascii="Times New Roman" w:hAnsi="Times New Roman" w:cs="Times New Roman"/>
          <w:sz w:val="24"/>
          <w:szCs w:val="24"/>
        </w:rPr>
        <w:t xml:space="preserve"> all the federal and state regulations. Attend the conference and read the most updated regulation put out by the American Telemedicine Association these regulations will lead the organization in the right direction since with all technology it continues to change. </w:t>
      </w:r>
    </w:p>
    <w:p w:rsidR="0085484B" w:rsidRPr="00E53956" w:rsidRDefault="00177EBA" w:rsidP="00177EBA">
      <w:pPr>
        <w:spacing w:line="480" w:lineRule="auto"/>
        <w:ind w:firstLine="720"/>
        <w:rPr>
          <w:rFonts w:ascii="Times New Roman" w:hAnsi="Times New Roman" w:cs="Times New Roman"/>
          <w:color w:val="FF0000"/>
          <w:sz w:val="24"/>
          <w:szCs w:val="24"/>
        </w:rPr>
      </w:pPr>
      <w:r w:rsidRPr="00177EBA">
        <w:rPr>
          <w:rFonts w:ascii="Times New Roman" w:hAnsi="Times New Roman" w:cs="Times New Roman"/>
          <w:sz w:val="24"/>
          <w:szCs w:val="24"/>
        </w:rPr>
        <w:t xml:space="preserve">Telemedicine is a superlative emerging technology that offers patient access to care they may otherwise not be able to obtain due to their location, transportation, or cost of treatment they need. Telemedicine will never completely replace face to face medical visits, however adopting this new technology will provide benefits of more efficient care, access to more advanced, physicians that are not in the patient’s geographical area, and the patient will be most gratified which would increase the facilities satisfaction score. Patient satisfaction, and quality of care if what health care is about. </w:t>
      </w:r>
      <w:r w:rsidR="00416823" w:rsidRPr="00416823">
        <w:rPr>
          <w:rFonts w:ascii="Times New Roman" w:hAnsi="Times New Roman" w:cs="Times New Roman"/>
          <w:sz w:val="24"/>
          <w:szCs w:val="24"/>
        </w:rPr>
        <w:t xml:space="preserve"> </w:t>
      </w:r>
      <w:r w:rsidR="0085484B" w:rsidRPr="00E53956">
        <w:rPr>
          <w:rFonts w:ascii="Times New Roman" w:hAnsi="Times New Roman" w:cs="Times New Roman"/>
          <w:color w:val="FF0000"/>
          <w:sz w:val="24"/>
          <w:szCs w:val="24"/>
        </w:rPr>
        <w:br w:type="page"/>
      </w:r>
    </w:p>
    <w:sdt>
      <w:sdtPr>
        <w:rPr>
          <w:rFonts w:ascii="Arial" w:eastAsiaTheme="minorHAnsi" w:hAnsi="Arial" w:cstheme="minorBidi"/>
          <w:color w:val="auto"/>
          <w:sz w:val="22"/>
          <w:szCs w:val="22"/>
        </w:rPr>
        <w:id w:val="63996544"/>
        <w:docPartObj>
          <w:docPartGallery w:val="Bibliographies"/>
          <w:docPartUnique/>
        </w:docPartObj>
      </w:sdtPr>
      <w:sdtEndPr/>
      <w:sdtContent>
        <w:p w:rsidR="003841DB" w:rsidRPr="003841DB" w:rsidRDefault="003841DB" w:rsidP="00545EE6">
          <w:pPr>
            <w:pStyle w:val="Heading1"/>
            <w:spacing w:line="480" w:lineRule="auto"/>
            <w:jc w:val="center"/>
            <w:rPr>
              <w:color w:val="auto"/>
            </w:rPr>
          </w:pPr>
          <w:r w:rsidRPr="003841DB">
            <w:rPr>
              <w:color w:val="auto"/>
            </w:rPr>
            <w:t>References</w:t>
          </w:r>
        </w:p>
        <w:sdt>
          <w:sdtPr>
            <w:id w:val="-573587230"/>
            <w:bibliography/>
          </w:sdtPr>
          <w:sdtEndPr/>
          <w:sdtContent>
            <w:p w:rsidR="00177EBA" w:rsidRDefault="003841DB" w:rsidP="00177EBA">
              <w:pPr>
                <w:pStyle w:val="Bibliography"/>
                <w:spacing w:line="480" w:lineRule="auto"/>
                <w:ind w:left="720" w:hanging="720"/>
                <w:rPr>
                  <w:noProof/>
                  <w:sz w:val="24"/>
                  <w:szCs w:val="24"/>
                </w:rPr>
              </w:pPr>
              <w:r w:rsidRPr="003841DB">
                <w:fldChar w:fldCharType="begin"/>
              </w:r>
              <w:r w:rsidRPr="003841DB">
                <w:instrText xml:space="preserve"> BIBLIOGRAPHY </w:instrText>
              </w:r>
              <w:r w:rsidRPr="003841DB">
                <w:fldChar w:fldCharType="separate"/>
              </w:r>
              <w:r w:rsidR="00177EBA">
                <w:rPr>
                  <w:i/>
                  <w:iCs/>
                  <w:noProof/>
                </w:rPr>
                <w:t>ADD ON DATA</w:t>
              </w:r>
              <w:r w:rsidR="00177EBA">
                <w:rPr>
                  <w:noProof/>
                </w:rPr>
                <w:t>. (2017, September 12). Retrieved from 5 Ways telemedicine benefits providers and patients: https://www.addondata.com/2017/09/5-ways-telemedicine-benefits-providers-and-patients/</w:t>
              </w:r>
            </w:p>
            <w:p w:rsidR="00177EBA" w:rsidRDefault="00177EBA" w:rsidP="00177EBA">
              <w:pPr>
                <w:pStyle w:val="Bibliography"/>
                <w:spacing w:line="480" w:lineRule="auto"/>
                <w:ind w:left="720" w:hanging="720"/>
                <w:rPr>
                  <w:noProof/>
                </w:rPr>
              </w:pPr>
              <w:r>
                <w:rPr>
                  <w:i/>
                  <w:iCs/>
                  <w:noProof/>
                </w:rPr>
                <w:t>American Telemedicine Association</w:t>
              </w:r>
              <w:r>
                <w:rPr>
                  <w:noProof/>
                </w:rPr>
                <w:t>. (n.d.). Retrieved from American Telemedicine Association: http://www.americantelemed.org/home</w:t>
              </w:r>
            </w:p>
            <w:p w:rsidR="00177EBA" w:rsidRDefault="00177EBA" w:rsidP="00177EBA">
              <w:pPr>
                <w:pStyle w:val="Bibliography"/>
                <w:spacing w:line="480" w:lineRule="auto"/>
                <w:ind w:left="720" w:hanging="720"/>
                <w:rPr>
                  <w:noProof/>
                </w:rPr>
              </w:pPr>
              <w:r>
                <w:rPr>
                  <w:i/>
                  <w:iCs/>
                  <w:noProof/>
                </w:rPr>
                <w:t>CDC</w:t>
              </w:r>
              <w:r>
                <w:rPr>
                  <w:noProof/>
                </w:rPr>
                <w:t>. (2018, August 7). Retrieved from Health and Economic Cost of Chronic Disease: https://www.cdc.gov/chronicdisease/about/costs/index.htm</w:t>
              </w:r>
            </w:p>
            <w:p w:rsidR="00177EBA" w:rsidRDefault="00177EBA" w:rsidP="00177EBA">
              <w:pPr>
                <w:pStyle w:val="Bibliography"/>
                <w:spacing w:line="480" w:lineRule="auto"/>
                <w:ind w:left="720" w:hanging="720"/>
                <w:rPr>
                  <w:noProof/>
                </w:rPr>
              </w:pPr>
              <w:r>
                <w:rPr>
                  <w:noProof/>
                </w:rPr>
                <w:t xml:space="preserve">Eysenbach, G. (2016, May 18). </w:t>
              </w:r>
              <w:r>
                <w:rPr>
                  <w:i/>
                  <w:iCs/>
                  <w:noProof/>
                </w:rPr>
                <w:t>NCBI</w:t>
              </w:r>
              <w:r>
                <w:rPr>
                  <w:noProof/>
                </w:rPr>
                <w:t>. Retrieved from Acceptability, Feasibility, and cost of telemedicine: https://www.ncbi.nlm.nih.gov/pmc/articles/PMC4906238/</w:t>
              </w:r>
            </w:p>
            <w:p w:rsidR="00177EBA" w:rsidRDefault="00177EBA" w:rsidP="00177EBA">
              <w:pPr>
                <w:pStyle w:val="Bibliography"/>
                <w:spacing w:line="480" w:lineRule="auto"/>
                <w:ind w:left="720" w:hanging="720"/>
                <w:rPr>
                  <w:noProof/>
                </w:rPr>
              </w:pPr>
              <w:r>
                <w:rPr>
                  <w:noProof/>
                </w:rPr>
                <w:t xml:space="preserve">Fields, M. (Ed.). (n.d.). </w:t>
              </w:r>
              <w:r>
                <w:rPr>
                  <w:i/>
                  <w:iCs/>
                  <w:noProof/>
                </w:rPr>
                <w:t>NCBI</w:t>
              </w:r>
              <w:r>
                <w:rPr>
                  <w:noProof/>
                </w:rPr>
                <w:t>. Retrieved August 23, 2018, from https://www.ncbi.nlm.nih.gov/books/NBK45445/</w:t>
              </w:r>
            </w:p>
            <w:p w:rsidR="00177EBA" w:rsidRDefault="00177EBA" w:rsidP="00177EBA">
              <w:pPr>
                <w:pStyle w:val="Bibliography"/>
                <w:spacing w:line="480" w:lineRule="auto"/>
                <w:ind w:left="720" w:hanging="720"/>
                <w:rPr>
                  <w:noProof/>
                </w:rPr>
              </w:pPr>
              <w:r>
                <w:rPr>
                  <w:noProof/>
                </w:rPr>
                <w:t xml:space="preserve">Sherling MD, D., &amp; Sherling MD, MBA, M. (2017, June 19). </w:t>
              </w:r>
              <w:r>
                <w:rPr>
                  <w:i/>
                  <w:iCs/>
                  <w:noProof/>
                </w:rPr>
                <w:t>American Jornal of Accountable care</w:t>
              </w:r>
              <w:r>
                <w:rPr>
                  <w:noProof/>
                </w:rPr>
                <w:t>. Retrieved from The Promises and Pittfalls of Telmedicine: https://www.ajmc.com/journals/ajac/2017/2017-vol5-n2/the-promises-and-pitfalls-of-telemedicine</w:t>
              </w:r>
            </w:p>
            <w:p w:rsidR="003841DB" w:rsidRPr="003841DB" w:rsidRDefault="003841DB" w:rsidP="00177EBA">
              <w:pPr>
                <w:spacing w:line="480" w:lineRule="auto"/>
              </w:pPr>
              <w:r w:rsidRPr="003841DB">
                <w:rPr>
                  <w:b/>
                  <w:bCs/>
                  <w:noProof/>
                </w:rPr>
                <w:fldChar w:fldCharType="end"/>
              </w:r>
            </w:p>
          </w:sdtContent>
        </w:sdt>
      </w:sdtContent>
    </w:sdt>
    <w:p w:rsidR="00ED230C" w:rsidRPr="00851151" w:rsidRDefault="00ED230C" w:rsidP="00851151">
      <w:pPr>
        <w:spacing w:line="480" w:lineRule="auto"/>
        <w:jc w:val="center"/>
        <w:rPr>
          <w:rFonts w:ascii="Times New Roman" w:hAnsi="Times New Roman" w:cs="Times New Roman"/>
          <w:sz w:val="24"/>
          <w:szCs w:val="24"/>
        </w:rPr>
      </w:pPr>
    </w:p>
    <w:sectPr w:rsidR="00ED230C" w:rsidRPr="00851151" w:rsidSect="008511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4BA" w:rsidRDefault="000C34BA" w:rsidP="00851151">
      <w:pPr>
        <w:spacing w:line="240" w:lineRule="auto"/>
      </w:pPr>
      <w:r>
        <w:separator/>
      </w:r>
    </w:p>
  </w:endnote>
  <w:endnote w:type="continuationSeparator" w:id="0">
    <w:p w:rsidR="000C34BA" w:rsidRDefault="000C34BA" w:rsidP="008511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4BA" w:rsidRDefault="000C34BA" w:rsidP="00851151">
      <w:pPr>
        <w:spacing w:line="240" w:lineRule="auto"/>
      </w:pPr>
      <w:r>
        <w:separator/>
      </w:r>
    </w:p>
  </w:footnote>
  <w:footnote w:type="continuationSeparator" w:id="0">
    <w:p w:rsidR="000C34BA" w:rsidRDefault="000C34BA" w:rsidP="008511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51" w:rsidRPr="00ED230C" w:rsidRDefault="00E237DE">
    <w:pPr>
      <w:pStyle w:val="Header"/>
      <w:rPr>
        <w:rFonts w:ascii="Times New Roman" w:hAnsi="Times New Roman" w:cs="Times New Roman"/>
        <w:sz w:val="24"/>
        <w:szCs w:val="24"/>
      </w:rPr>
    </w:pPr>
    <w:r>
      <w:rPr>
        <w:rFonts w:ascii="Times New Roman" w:hAnsi="Times New Roman" w:cs="Times New Roman"/>
        <w:sz w:val="24"/>
        <w:szCs w:val="24"/>
      </w:rPr>
      <w:t>TELEMEDICINE</w:t>
    </w:r>
    <w:r w:rsidR="00851151" w:rsidRPr="00ED230C">
      <w:rPr>
        <w:rFonts w:ascii="Times New Roman" w:hAnsi="Times New Roman" w:cs="Times New Roman"/>
        <w:sz w:val="24"/>
        <w:szCs w:val="24"/>
      </w:rPr>
      <w:ptab w:relativeTo="margin" w:alignment="center" w:leader="none"/>
    </w:r>
    <w:r w:rsidR="00851151" w:rsidRPr="00ED230C">
      <w:rPr>
        <w:rFonts w:ascii="Times New Roman" w:hAnsi="Times New Roman" w:cs="Times New Roman"/>
        <w:sz w:val="24"/>
        <w:szCs w:val="24"/>
      </w:rPr>
      <w:ptab w:relativeTo="margin" w:alignment="right" w:leader="none"/>
    </w:r>
    <w:r w:rsidR="00683D92" w:rsidRPr="00ED230C">
      <w:rPr>
        <w:rFonts w:ascii="Times New Roman" w:hAnsi="Times New Roman" w:cs="Times New Roman"/>
        <w:sz w:val="24"/>
        <w:szCs w:val="24"/>
      </w:rPr>
      <w:fldChar w:fldCharType="begin"/>
    </w:r>
    <w:r w:rsidR="00ED230C" w:rsidRPr="00ED230C">
      <w:rPr>
        <w:rFonts w:ascii="Times New Roman" w:hAnsi="Times New Roman" w:cs="Times New Roman"/>
        <w:sz w:val="24"/>
        <w:szCs w:val="24"/>
      </w:rPr>
      <w:instrText xml:space="preserve"> PAGE   \* MERGEFORMAT </w:instrText>
    </w:r>
    <w:r w:rsidR="00683D92" w:rsidRPr="00ED230C">
      <w:rPr>
        <w:rFonts w:ascii="Times New Roman" w:hAnsi="Times New Roman" w:cs="Times New Roman"/>
        <w:sz w:val="24"/>
        <w:szCs w:val="24"/>
      </w:rPr>
      <w:fldChar w:fldCharType="separate"/>
    </w:r>
    <w:r w:rsidR="000C23CB">
      <w:rPr>
        <w:rFonts w:ascii="Times New Roman" w:hAnsi="Times New Roman" w:cs="Times New Roman"/>
        <w:noProof/>
        <w:sz w:val="24"/>
        <w:szCs w:val="24"/>
      </w:rPr>
      <w:t>6</w:t>
    </w:r>
    <w:r w:rsidR="00683D92" w:rsidRPr="00ED230C">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51" w:rsidRPr="00851151" w:rsidRDefault="00851151">
    <w:pPr>
      <w:pStyle w:val="Header"/>
      <w:rPr>
        <w:rFonts w:ascii="Times New Roman" w:hAnsi="Times New Roman" w:cs="Times New Roman"/>
        <w:sz w:val="24"/>
        <w:szCs w:val="24"/>
      </w:rPr>
    </w:pPr>
    <w:r w:rsidRPr="00851151">
      <w:rPr>
        <w:rFonts w:ascii="Times New Roman" w:hAnsi="Times New Roman" w:cs="Times New Roman"/>
        <w:sz w:val="24"/>
        <w:szCs w:val="24"/>
      </w:rPr>
      <w:t xml:space="preserve">Running head: </w:t>
    </w:r>
    <w:r w:rsidR="005C5D87">
      <w:rPr>
        <w:rFonts w:ascii="Times New Roman" w:hAnsi="Times New Roman" w:cs="Times New Roman"/>
        <w:sz w:val="24"/>
        <w:szCs w:val="24"/>
      </w:rPr>
      <w:t>TELEMEDICINE</w:t>
    </w:r>
    <w:r w:rsidR="005C5D87" w:rsidRPr="00851151">
      <w:rPr>
        <w:rFonts w:ascii="Times New Roman" w:hAnsi="Times New Roman" w:cs="Times New Roman"/>
        <w:sz w:val="24"/>
        <w:szCs w:val="24"/>
      </w:rPr>
      <w:t xml:space="preserve"> </w:t>
    </w:r>
    <w:r w:rsidRPr="00851151">
      <w:rPr>
        <w:rFonts w:ascii="Times New Roman" w:hAnsi="Times New Roman" w:cs="Times New Roman"/>
        <w:sz w:val="24"/>
        <w:szCs w:val="24"/>
      </w:rPr>
      <w:ptab w:relativeTo="margin" w:alignment="center" w:leader="none"/>
    </w:r>
    <w:r w:rsidRPr="00851151">
      <w:rPr>
        <w:rFonts w:ascii="Times New Roman" w:hAnsi="Times New Roman" w:cs="Times New Roman"/>
        <w:sz w:val="24"/>
        <w:szCs w:val="24"/>
      </w:rPr>
      <w:ptab w:relativeTo="margin" w:alignment="right" w:leader="none"/>
    </w:r>
    <w:r w:rsidR="00683D92" w:rsidRPr="00851151">
      <w:rPr>
        <w:rFonts w:ascii="Times New Roman" w:hAnsi="Times New Roman" w:cs="Times New Roman"/>
        <w:sz w:val="24"/>
        <w:szCs w:val="24"/>
      </w:rPr>
      <w:fldChar w:fldCharType="begin"/>
    </w:r>
    <w:r w:rsidRPr="00851151">
      <w:rPr>
        <w:rFonts w:ascii="Times New Roman" w:hAnsi="Times New Roman" w:cs="Times New Roman"/>
        <w:sz w:val="24"/>
        <w:szCs w:val="24"/>
      </w:rPr>
      <w:instrText xml:space="preserve"> PAGE   \* MERGEFORMAT </w:instrText>
    </w:r>
    <w:r w:rsidR="00683D92" w:rsidRPr="00851151">
      <w:rPr>
        <w:rFonts w:ascii="Times New Roman" w:hAnsi="Times New Roman" w:cs="Times New Roman"/>
        <w:sz w:val="24"/>
        <w:szCs w:val="24"/>
      </w:rPr>
      <w:fldChar w:fldCharType="separate"/>
    </w:r>
    <w:r w:rsidR="000C23CB">
      <w:rPr>
        <w:rFonts w:ascii="Times New Roman" w:hAnsi="Times New Roman" w:cs="Times New Roman"/>
        <w:noProof/>
        <w:sz w:val="24"/>
        <w:szCs w:val="24"/>
      </w:rPr>
      <w:t>1</w:t>
    </w:r>
    <w:r w:rsidR="00683D92" w:rsidRPr="00851151">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151"/>
    <w:rsid w:val="00083C78"/>
    <w:rsid w:val="000A5D4A"/>
    <w:rsid w:val="000B685D"/>
    <w:rsid w:val="000C23CB"/>
    <w:rsid w:val="000C34BA"/>
    <w:rsid w:val="000C4803"/>
    <w:rsid w:val="000D4B5E"/>
    <w:rsid w:val="000F3070"/>
    <w:rsid w:val="0013736F"/>
    <w:rsid w:val="00177EBA"/>
    <w:rsid w:val="00181D79"/>
    <w:rsid w:val="00182BEC"/>
    <w:rsid w:val="00184CDD"/>
    <w:rsid w:val="00195D47"/>
    <w:rsid w:val="001D0514"/>
    <w:rsid w:val="00200E99"/>
    <w:rsid w:val="002047D4"/>
    <w:rsid w:val="0020759A"/>
    <w:rsid w:val="00214A7A"/>
    <w:rsid w:val="00223C8E"/>
    <w:rsid w:val="00241D9B"/>
    <w:rsid w:val="0024354B"/>
    <w:rsid w:val="0024539C"/>
    <w:rsid w:val="00254579"/>
    <w:rsid w:val="00264B23"/>
    <w:rsid w:val="00285E50"/>
    <w:rsid w:val="002B4694"/>
    <w:rsid w:val="002D3302"/>
    <w:rsid w:val="002E3DF5"/>
    <w:rsid w:val="0030346F"/>
    <w:rsid w:val="00313C15"/>
    <w:rsid w:val="003261CD"/>
    <w:rsid w:val="003841DB"/>
    <w:rsid w:val="003B2966"/>
    <w:rsid w:val="003B77D7"/>
    <w:rsid w:val="003C1C60"/>
    <w:rsid w:val="00402BD5"/>
    <w:rsid w:val="00416823"/>
    <w:rsid w:val="00417608"/>
    <w:rsid w:val="00430B0D"/>
    <w:rsid w:val="0043423A"/>
    <w:rsid w:val="00436433"/>
    <w:rsid w:val="004365E9"/>
    <w:rsid w:val="004458B1"/>
    <w:rsid w:val="004475AD"/>
    <w:rsid w:val="00464C09"/>
    <w:rsid w:val="00492BD6"/>
    <w:rsid w:val="004D0262"/>
    <w:rsid w:val="00543262"/>
    <w:rsid w:val="00545EE6"/>
    <w:rsid w:val="005555B6"/>
    <w:rsid w:val="00557A2A"/>
    <w:rsid w:val="005C2DDF"/>
    <w:rsid w:val="005C5D87"/>
    <w:rsid w:val="0061652A"/>
    <w:rsid w:val="00621A53"/>
    <w:rsid w:val="006228FE"/>
    <w:rsid w:val="00632859"/>
    <w:rsid w:val="006329E0"/>
    <w:rsid w:val="00637C70"/>
    <w:rsid w:val="00650F4A"/>
    <w:rsid w:val="006715A5"/>
    <w:rsid w:val="00682C3A"/>
    <w:rsid w:val="00683D92"/>
    <w:rsid w:val="00684638"/>
    <w:rsid w:val="00694ED1"/>
    <w:rsid w:val="006A2B65"/>
    <w:rsid w:val="006C348B"/>
    <w:rsid w:val="006D0318"/>
    <w:rsid w:val="006D44E8"/>
    <w:rsid w:val="006F0B25"/>
    <w:rsid w:val="006F22FF"/>
    <w:rsid w:val="006F5EF8"/>
    <w:rsid w:val="0070167A"/>
    <w:rsid w:val="007049FD"/>
    <w:rsid w:val="00716C97"/>
    <w:rsid w:val="0072367D"/>
    <w:rsid w:val="0072498D"/>
    <w:rsid w:val="00741BE7"/>
    <w:rsid w:val="00787EF1"/>
    <w:rsid w:val="007977B7"/>
    <w:rsid w:val="007A7641"/>
    <w:rsid w:val="007D46EE"/>
    <w:rsid w:val="00824E74"/>
    <w:rsid w:val="00825165"/>
    <w:rsid w:val="00851151"/>
    <w:rsid w:val="0085484B"/>
    <w:rsid w:val="00857C0B"/>
    <w:rsid w:val="0088401B"/>
    <w:rsid w:val="00886129"/>
    <w:rsid w:val="00887240"/>
    <w:rsid w:val="00890B66"/>
    <w:rsid w:val="00893B93"/>
    <w:rsid w:val="008C0D67"/>
    <w:rsid w:val="00901F17"/>
    <w:rsid w:val="009318FC"/>
    <w:rsid w:val="00933927"/>
    <w:rsid w:val="00940532"/>
    <w:rsid w:val="00970051"/>
    <w:rsid w:val="009A588D"/>
    <w:rsid w:val="009B340B"/>
    <w:rsid w:val="009D115E"/>
    <w:rsid w:val="00A026AC"/>
    <w:rsid w:val="00A266FB"/>
    <w:rsid w:val="00A30FB7"/>
    <w:rsid w:val="00AE245C"/>
    <w:rsid w:val="00B55DD7"/>
    <w:rsid w:val="00B72102"/>
    <w:rsid w:val="00B74BCA"/>
    <w:rsid w:val="00C05585"/>
    <w:rsid w:val="00C06A96"/>
    <w:rsid w:val="00C41C60"/>
    <w:rsid w:val="00C62335"/>
    <w:rsid w:val="00CB11CE"/>
    <w:rsid w:val="00CC33B2"/>
    <w:rsid w:val="00CC39AB"/>
    <w:rsid w:val="00CC69A6"/>
    <w:rsid w:val="00CE14A0"/>
    <w:rsid w:val="00CE39BC"/>
    <w:rsid w:val="00D0697F"/>
    <w:rsid w:val="00D17CE9"/>
    <w:rsid w:val="00D23F43"/>
    <w:rsid w:val="00D640C4"/>
    <w:rsid w:val="00DB02A6"/>
    <w:rsid w:val="00DB478C"/>
    <w:rsid w:val="00DD36C0"/>
    <w:rsid w:val="00E05D03"/>
    <w:rsid w:val="00E072AA"/>
    <w:rsid w:val="00E237DE"/>
    <w:rsid w:val="00E30027"/>
    <w:rsid w:val="00E30614"/>
    <w:rsid w:val="00E43979"/>
    <w:rsid w:val="00E50FD9"/>
    <w:rsid w:val="00E53956"/>
    <w:rsid w:val="00E6377A"/>
    <w:rsid w:val="00E71095"/>
    <w:rsid w:val="00E7276C"/>
    <w:rsid w:val="00E97FAF"/>
    <w:rsid w:val="00EB210E"/>
    <w:rsid w:val="00EB2E42"/>
    <w:rsid w:val="00EC3648"/>
    <w:rsid w:val="00EC6CA9"/>
    <w:rsid w:val="00ED230C"/>
    <w:rsid w:val="00EE7CD1"/>
    <w:rsid w:val="00EF60A3"/>
    <w:rsid w:val="00FB0DD5"/>
    <w:rsid w:val="00FB2522"/>
    <w:rsid w:val="00FF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C19E65B-7369-4DB8-8BE7-DD00BFDA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7DE"/>
    <w:pPr>
      <w:spacing w:after="0"/>
    </w:pPr>
    <w:rPr>
      <w:rFonts w:ascii="Arial" w:hAnsi="Arial"/>
    </w:rPr>
  </w:style>
  <w:style w:type="paragraph" w:styleId="Heading1">
    <w:name w:val="heading 1"/>
    <w:basedOn w:val="Normal"/>
    <w:next w:val="Normal"/>
    <w:link w:val="Heading1Char"/>
    <w:uiPriority w:val="9"/>
    <w:qFormat/>
    <w:rsid w:val="003841DB"/>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151"/>
    <w:pPr>
      <w:tabs>
        <w:tab w:val="center" w:pos="4680"/>
        <w:tab w:val="right" w:pos="9360"/>
      </w:tabs>
      <w:spacing w:line="240" w:lineRule="auto"/>
    </w:pPr>
  </w:style>
  <w:style w:type="character" w:customStyle="1" w:styleId="HeaderChar">
    <w:name w:val="Header Char"/>
    <w:basedOn w:val="DefaultParagraphFont"/>
    <w:link w:val="Header"/>
    <w:uiPriority w:val="99"/>
    <w:rsid w:val="00851151"/>
    <w:rPr>
      <w:rFonts w:ascii="Arial" w:hAnsi="Arial"/>
    </w:rPr>
  </w:style>
  <w:style w:type="paragraph" w:styleId="Footer">
    <w:name w:val="footer"/>
    <w:basedOn w:val="Normal"/>
    <w:link w:val="FooterChar"/>
    <w:uiPriority w:val="99"/>
    <w:unhideWhenUsed/>
    <w:rsid w:val="00851151"/>
    <w:pPr>
      <w:tabs>
        <w:tab w:val="center" w:pos="4680"/>
        <w:tab w:val="right" w:pos="9360"/>
      </w:tabs>
      <w:spacing w:line="240" w:lineRule="auto"/>
    </w:pPr>
  </w:style>
  <w:style w:type="character" w:customStyle="1" w:styleId="FooterChar">
    <w:name w:val="Footer Char"/>
    <w:basedOn w:val="DefaultParagraphFont"/>
    <w:link w:val="Footer"/>
    <w:uiPriority w:val="99"/>
    <w:rsid w:val="00851151"/>
    <w:rPr>
      <w:rFonts w:ascii="Arial" w:hAnsi="Arial"/>
    </w:rPr>
  </w:style>
  <w:style w:type="paragraph" w:styleId="BalloonText">
    <w:name w:val="Balloon Text"/>
    <w:basedOn w:val="Normal"/>
    <w:link w:val="BalloonTextChar"/>
    <w:uiPriority w:val="99"/>
    <w:semiHidden/>
    <w:unhideWhenUsed/>
    <w:rsid w:val="008511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151"/>
    <w:rPr>
      <w:rFonts w:ascii="Tahoma" w:hAnsi="Tahoma" w:cs="Tahoma"/>
      <w:sz w:val="16"/>
      <w:szCs w:val="16"/>
    </w:rPr>
  </w:style>
  <w:style w:type="paragraph" w:styleId="NormalWeb">
    <w:name w:val="Normal (Web)"/>
    <w:basedOn w:val="Normal"/>
    <w:uiPriority w:val="99"/>
    <w:unhideWhenUsed/>
    <w:rsid w:val="006F22FF"/>
    <w:pPr>
      <w:spacing w:before="100" w:beforeAutospacing="1" w:after="100" w:afterAutospacing="1" w:line="240" w:lineRule="auto"/>
    </w:pPr>
    <w:rPr>
      <w:rFonts w:ascii="Times" w:hAnsi="Times" w:cs="Times New Roman"/>
      <w:sz w:val="20"/>
      <w:szCs w:val="20"/>
    </w:rPr>
  </w:style>
  <w:style w:type="character" w:styleId="Emphasis">
    <w:name w:val="Emphasis"/>
    <w:basedOn w:val="DefaultParagraphFont"/>
    <w:uiPriority w:val="20"/>
    <w:qFormat/>
    <w:rsid w:val="006F22FF"/>
    <w:rPr>
      <w:i/>
      <w:iCs/>
    </w:rPr>
  </w:style>
  <w:style w:type="character" w:styleId="CommentReference">
    <w:name w:val="annotation reference"/>
    <w:basedOn w:val="DefaultParagraphFont"/>
    <w:uiPriority w:val="99"/>
    <w:semiHidden/>
    <w:unhideWhenUsed/>
    <w:rsid w:val="00D640C4"/>
    <w:rPr>
      <w:sz w:val="16"/>
      <w:szCs w:val="16"/>
    </w:rPr>
  </w:style>
  <w:style w:type="paragraph" w:styleId="CommentText">
    <w:name w:val="annotation text"/>
    <w:basedOn w:val="Normal"/>
    <w:link w:val="CommentTextChar"/>
    <w:uiPriority w:val="99"/>
    <w:semiHidden/>
    <w:unhideWhenUsed/>
    <w:rsid w:val="00D640C4"/>
    <w:pPr>
      <w:spacing w:line="240" w:lineRule="auto"/>
    </w:pPr>
    <w:rPr>
      <w:sz w:val="20"/>
      <w:szCs w:val="20"/>
    </w:rPr>
  </w:style>
  <w:style w:type="character" w:customStyle="1" w:styleId="CommentTextChar">
    <w:name w:val="Comment Text Char"/>
    <w:basedOn w:val="DefaultParagraphFont"/>
    <w:link w:val="CommentText"/>
    <w:uiPriority w:val="99"/>
    <w:semiHidden/>
    <w:rsid w:val="00D640C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640C4"/>
    <w:rPr>
      <w:b/>
      <w:bCs/>
    </w:rPr>
  </w:style>
  <w:style w:type="character" w:customStyle="1" w:styleId="CommentSubjectChar">
    <w:name w:val="Comment Subject Char"/>
    <w:basedOn w:val="CommentTextChar"/>
    <w:link w:val="CommentSubject"/>
    <w:uiPriority w:val="99"/>
    <w:semiHidden/>
    <w:rsid w:val="00D640C4"/>
    <w:rPr>
      <w:rFonts w:ascii="Arial" w:hAnsi="Arial"/>
      <w:b/>
      <w:bCs/>
      <w:sz w:val="20"/>
      <w:szCs w:val="20"/>
    </w:rPr>
  </w:style>
  <w:style w:type="character" w:customStyle="1" w:styleId="Heading1Char">
    <w:name w:val="Heading 1 Char"/>
    <w:basedOn w:val="DefaultParagraphFont"/>
    <w:link w:val="Heading1"/>
    <w:uiPriority w:val="9"/>
    <w:rsid w:val="003841DB"/>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384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88726">
      <w:bodyDiv w:val="1"/>
      <w:marLeft w:val="0"/>
      <w:marRight w:val="0"/>
      <w:marTop w:val="0"/>
      <w:marBottom w:val="0"/>
      <w:divBdr>
        <w:top w:val="none" w:sz="0" w:space="0" w:color="auto"/>
        <w:left w:val="none" w:sz="0" w:space="0" w:color="auto"/>
        <w:bottom w:val="none" w:sz="0" w:space="0" w:color="auto"/>
        <w:right w:val="none" w:sz="0" w:space="0" w:color="auto"/>
      </w:divBdr>
    </w:div>
    <w:div w:id="110101718">
      <w:bodyDiv w:val="1"/>
      <w:marLeft w:val="0"/>
      <w:marRight w:val="0"/>
      <w:marTop w:val="0"/>
      <w:marBottom w:val="0"/>
      <w:divBdr>
        <w:top w:val="none" w:sz="0" w:space="0" w:color="auto"/>
        <w:left w:val="none" w:sz="0" w:space="0" w:color="auto"/>
        <w:bottom w:val="none" w:sz="0" w:space="0" w:color="auto"/>
        <w:right w:val="none" w:sz="0" w:space="0" w:color="auto"/>
      </w:divBdr>
    </w:div>
    <w:div w:id="205486042">
      <w:bodyDiv w:val="1"/>
      <w:marLeft w:val="0"/>
      <w:marRight w:val="0"/>
      <w:marTop w:val="0"/>
      <w:marBottom w:val="0"/>
      <w:divBdr>
        <w:top w:val="none" w:sz="0" w:space="0" w:color="auto"/>
        <w:left w:val="none" w:sz="0" w:space="0" w:color="auto"/>
        <w:bottom w:val="none" w:sz="0" w:space="0" w:color="auto"/>
        <w:right w:val="none" w:sz="0" w:space="0" w:color="auto"/>
      </w:divBdr>
    </w:div>
    <w:div w:id="224224279">
      <w:bodyDiv w:val="1"/>
      <w:marLeft w:val="0"/>
      <w:marRight w:val="0"/>
      <w:marTop w:val="0"/>
      <w:marBottom w:val="0"/>
      <w:divBdr>
        <w:top w:val="none" w:sz="0" w:space="0" w:color="auto"/>
        <w:left w:val="none" w:sz="0" w:space="0" w:color="auto"/>
        <w:bottom w:val="none" w:sz="0" w:space="0" w:color="auto"/>
        <w:right w:val="none" w:sz="0" w:space="0" w:color="auto"/>
      </w:divBdr>
    </w:div>
    <w:div w:id="313681219">
      <w:bodyDiv w:val="1"/>
      <w:marLeft w:val="0"/>
      <w:marRight w:val="0"/>
      <w:marTop w:val="0"/>
      <w:marBottom w:val="0"/>
      <w:divBdr>
        <w:top w:val="none" w:sz="0" w:space="0" w:color="auto"/>
        <w:left w:val="none" w:sz="0" w:space="0" w:color="auto"/>
        <w:bottom w:val="none" w:sz="0" w:space="0" w:color="auto"/>
        <w:right w:val="none" w:sz="0" w:space="0" w:color="auto"/>
      </w:divBdr>
    </w:div>
    <w:div w:id="542669258">
      <w:bodyDiv w:val="1"/>
      <w:marLeft w:val="0"/>
      <w:marRight w:val="0"/>
      <w:marTop w:val="0"/>
      <w:marBottom w:val="0"/>
      <w:divBdr>
        <w:top w:val="none" w:sz="0" w:space="0" w:color="auto"/>
        <w:left w:val="none" w:sz="0" w:space="0" w:color="auto"/>
        <w:bottom w:val="none" w:sz="0" w:space="0" w:color="auto"/>
        <w:right w:val="none" w:sz="0" w:space="0" w:color="auto"/>
      </w:divBdr>
    </w:div>
    <w:div w:id="608245964">
      <w:bodyDiv w:val="1"/>
      <w:marLeft w:val="0"/>
      <w:marRight w:val="0"/>
      <w:marTop w:val="0"/>
      <w:marBottom w:val="0"/>
      <w:divBdr>
        <w:top w:val="none" w:sz="0" w:space="0" w:color="auto"/>
        <w:left w:val="none" w:sz="0" w:space="0" w:color="auto"/>
        <w:bottom w:val="none" w:sz="0" w:space="0" w:color="auto"/>
        <w:right w:val="none" w:sz="0" w:space="0" w:color="auto"/>
      </w:divBdr>
    </w:div>
    <w:div w:id="668824628">
      <w:bodyDiv w:val="1"/>
      <w:marLeft w:val="0"/>
      <w:marRight w:val="0"/>
      <w:marTop w:val="0"/>
      <w:marBottom w:val="0"/>
      <w:divBdr>
        <w:top w:val="none" w:sz="0" w:space="0" w:color="auto"/>
        <w:left w:val="none" w:sz="0" w:space="0" w:color="auto"/>
        <w:bottom w:val="none" w:sz="0" w:space="0" w:color="auto"/>
        <w:right w:val="none" w:sz="0" w:space="0" w:color="auto"/>
      </w:divBdr>
    </w:div>
    <w:div w:id="746457917">
      <w:bodyDiv w:val="1"/>
      <w:marLeft w:val="0"/>
      <w:marRight w:val="0"/>
      <w:marTop w:val="0"/>
      <w:marBottom w:val="0"/>
      <w:divBdr>
        <w:top w:val="none" w:sz="0" w:space="0" w:color="auto"/>
        <w:left w:val="none" w:sz="0" w:space="0" w:color="auto"/>
        <w:bottom w:val="none" w:sz="0" w:space="0" w:color="auto"/>
        <w:right w:val="none" w:sz="0" w:space="0" w:color="auto"/>
      </w:divBdr>
    </w:div>
    <w:div w:id="848450705">
      <w:bodyDiv w:val="1"/>
      <w:marLeft w:val="0"/>
      <w:marRight w:val="0"/>
      <w:marTop w:val="0"/>
      <w:marBottom w:val="0"/>
      <w:divBdr>
        <w:top w:val="none" w:sz="0" w:space="0" w:color="auto"/>
        <w:left w:val="none" w:sz="0" w:space="0" w:color="auto"/>
        <w:bottom w:val="none" w:sz="0" w:space="0" w:color="auto"/>
        <w:right w:val="none" w:sz="0" w:space="0" w:color="auto"/>
      </w:divBdr>
    </w:div>
    <w:div w:id="894699466">
      <w:bodyDiv w:val="1"/>
      <w:marLeft w:val="0"/>
      <w:marRight w:val="0"/>
      <w:marTop w:val="0"/>
      <w:marBottom w:val="0"/>
      <w:divBdr>
        <w:top w:val="none" w:sz="0" w:space="0" w:color="auto"/>
        <w:left w:val="none" w:sz="0" w:space="0" w:color="auto"/>
        <w:bottom w:val="none" w:sz="0" w:space="0" w:color="auto"/>
        <w:right w:val="none" w:sz="0" w:space="0" w:color="auto"/>
      </w:divBdr>
    </w:div>
    <w:div w:id="1043869729">
      <w:bodyDiv w:val="1"/>
      <w:marLeft w:val="0"/>
      <w:marRight w:val="0"/>
      <w:marTop w:val="0"/>
      <w:marBottom w:val="0"/>
      <w:divBdr>
        <w:top w:val="none" w:sz="0" w:space="0" w:color="auto"/>
        <w:left w:val="none" w:sz="0" w:space="0" w:color="auto"/>
        <w:bottom w:val="none" w:sz="0" w:space="0" w:color="auto"/>
        <w:right w:val="none" w:sz="0" w:space="0" w:color="auto"/>
      </w:divBdr>
    </w:div>
    <w:div w:id="1059669796">
      <w:bodyDiv w:val="1"/>
      <w:marLeft w:val="0"/>
      <w:marRight w:val="0"/>
      <w:marTop w:val="0"/>
      <w:marBottom w:val="0"/>
      <w:divBdr>
        <w:top w:val="none" w:sz="0" w:space="0" w:color="auto"/>
        <w:left w:val="none" w:sz="0" w:space="0" w:color="auto"/>
        <w:bottom w:val="none" w:sz="0" w:space="0" w:color="auto"/>
        <w:right w:val="none" w:sz="0" w:space="0" w:color="auto"/>
      </w:divBdr>
    </w:div>
    <w:div w:id="1111626223">
      <w:bodyDiv w:val="1"/>
      <w:marLeft w:val="0"/>
      <w:marRight w:val="0"/>
      <w:marTop w:val="0"/>
      <w:marBottom w:val="0"/>
      <w:divBdr>
        <w:top w:val="none" w:sz="0" w:space="0" w:color="auto"/>
        <w:left w:val="none" w:sz="0" w:space="0" w:color="auto"/>
        <w:bottom w:val="none" w:sz="0" w:space="0" w:color="auto"/>
        <w:right w:val="none" w:sz="0" w:space="0" w:color="auto"/>
      </w:divBdr>
      <w:divsChild>
        <w:div w:id="1064790562">
          <w:marLeft w:val="0"/>
          <w:marRight w:val="0"/>
          <w:marTop w:val="100"/>
          <w:marBottom w:val="100"/>
          <w:divBdr>
            <w:top w:val="none" w:sz="0" w:space="0" w:color="auto"/>
            <w:left w:val="none" w:sz="0" w:space="0" w:color="auto"/>
            <w:bottom w:val="none" w:sz="0" w:space="0" w:color="auto"/>
            <w:right w:val="none" w:sz="0" w:space="0" w:color="auto"/>
          </w:divBdr>
          <w:divsChild>
            <w:div w:id="44827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172026">
      <w:bodyDiv w:val="1"/>
      <w:marLeft w:val="0"/>
      <w:marRight w:val="0"/>
      <w:marTop w:val="0"/>
      <w:marBottom w:val="0"/>
      <w:divBdr>
        <w:top w:val="none" w:sz="0" w:space="0" w:color="auto"/>
        <w:left w:val="none" w:sz="0" w:space="0" w:color="auto"/>
        <w:bottom w:val="none" w:sz="0" w:space="0" w:color="auto"/>
        <w:right w:val="none" w:sz="0" w:space="0" w:color="auto"/>
      </w:divBdr>
    </w:div>
    <w:div w:id="1481187690">
      <w:bodyDiv w:val="1"/>
      <w:marLeft w:val="0"/>
      <w:marRight w:val="0"/>
      <w:marTop w:val="0"/>
      <w:marBottom w:val="0"/>
      <w:divBdr>
        <w:top w:val="none" w:sz="0" w:space="0" w:color="auto"/>
        <w:left w:val="none" w:sz="0" w:space="0" w:color="auto"/>
        <w:bottom w:val="none" w:sz="0" w:space="0" w:color="auto"/>
        <w:right w:val="none" w:sz="0" w:space="0" w:color="auto"/>
      </w:divBdr>
    </w:div>
    <w:div w:id="1496914788">
      <w:bodyDiv w:val="1"/>
      <w:marLeft w:val="0"/>
      <w:marRight w:val="0"/>
      <w:marTop w:val="0"/>
      <w:marBottom w:val="0"/>
      <w:divBdr>
        <w:top w:val="none" w:sz="0" w:space="0" w:color="auto"/>
        <w:left w:val="none" w:sz="0" w:space="0" w:color="auto"/>
        <w:bottom w:val="none" w:sz="0" w:space="0" w:color="auto"/>
        <w:right w:val="none" w:sz="0" w:space="0" w:color="auto"/>
      </w:divBdr>
    </w:div>
    <w:div w:id="1499806208">
      <w:bodyDiv w:val="1"/>
      <w:marLeft w:val="0"/>
      <w:marRight w:val="0"/>
      <w:marTop w:val="0"/>
      <w:marBottom w:val="0"/>
      <w:divBdr>
        <w:top w:val="none" w:sz="0" w:space="0" w:color="auto"/>
        <w:left w:val="none" w:sz="0" w:space="0" w:color="auto"/>
        <w:bottom w:val="none" w:sz="0" w:space="0" w:color="auto"/>
        <w:right w:val="none" w:sz="0" w:space="0" w:color="auto"/>
      </w:divBdr>
    </w:div>
    <w:div w:id="1832866750">
      <w:bodyDiv w:val="1"/>
      <w:marLeft w:val="0"/>
      <w:marRight w:val="0"/>
      <w:marTop w:val="0"/>
      <w:marBottom w:val="0"/>
      <w:divBdr>
        <w:top w:val="none" w:sz="0" w:space="0" w:color="auto"/>
        <w:left w:val="none" w:sz="0" w:space="0" w:color="auto"/>
        <w:bottom w:val="none" w:sz="0" w:space="0" w:color="auto"/>
        <w:right w:val="none" w:sz="0" w:space="0" w:color="auto"/>
      </w:divBdr>
    </w:div>
    <w:div w:id="1911847217">
      <w:bodyDiv w:val="1"/>
      <w:marLeft w:val="0"/>
      <w:marRight w:val="0"/>
      <w:marTop w:val="0"/>
      <w:marBottom w:val="0"/>
      <w:divBdr>
        <w:top w:val="none" w:sz="0" w:space="0" w:color="auto"/>
        <w:left w:val="none" w:sz="0" w:space="0" w:color="auto"/>
        <w:bottom w:val="none" w:sz="0" w:space="0" w:color="auto"/>
        <w:right w:val="none" w:sz="0" w:space="0" w:color="auto"/>
      </w:divBdr>
    </w:div>
    <w:div w:id="2021546587">
      <w:bodyDiv w:val="1"/>
      <w:marLeft w:val="0"/>
      <w:marRight w:val="0"/>
      <w:marTop w:val="0"/>
      <w:marBottom w:val="0"/>
      <w:divBdr>
        <w:top w:val="none" w:sz="0" w:space="0" w:color="auto"/>
        <w:left w:val="none" w:sz="0" w:space="0" w:color="auto"/>
        <w:bottom w:val="none" w:sz="0" w:space="0" w:color="auto"/>
        <w:right w:val="none" w:sz="0" w:space="0" w:color="auto"/>
      </w:divBdr>
    </w:div>
    <w:div w:id="2021932887">
      <w:bodyDiv w:val="1"/>
      <w:marLeft w:val="0"/>
      <w:marRight w:val="0"/>
      <w:marTop w:val="0"/>
      <w:marBottom w:val="0"/>
      <w:divBdr>
        <w:top w:val="none" w:sz="0" w:space="0" w:color="auto"/>
        <w:left w:val="none" w:sz="0" w:space="0" w:color="auto"/>
        <w:bottom w:val="none" w:sz="0" w:space="0" w:color="auto"/>
        <w:right w:val="none" w:sz="0" w:space="0" w:color="auto"/>
      </w:divBdr>
    </w:div>
    <w:div w:id="212677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Fie18</b:Tag>
    <b:SourceType>InternetSite</b:SourceType>
    <b:Guid>{48BD0F6C-FFF4-4CF6-BCF4-5C6B3ACF9C25}</b:Guid>
    <b:Title>NCBI</b:Title>
    <b:URL>https://www.ncbi.nlm.nih.gov/books/NBK45445/</b:URL>
    <b:Author>
      <b:Editor>
        <b:NameList>
          <b:Person>
            <b:Last>Fields</b:Last>
            <b:First>MJ</b:First>
          </b:Person>
        </b:NameList>
      </b:Editor>
    </b:Author>
    <b:YearAccessed>2018</b:YearAccessed>
    <b:MonthAccessed>August</b:MonthAccessed>
    <b:DayAccessed>23</b:DayAccessed>
    <b:RefOrder>1</b:RefOrder>
  </b:Source>
  <b:Source>
    <b:Tag>She17</b:Tag>
    <b:SourceType>InternetSite</b:SourceType>
    <b:Guid>{A649E223-F8F3-4404-ABC4-072A3198E559}</b:Guid>
    <b:Title>American Jornal of Accountable care</b:Title>
    <b:InternetSiteTitle>The Promises and Pittfalls of Telmedicine</b:InternetSiteTitle>
    <b:Year>2017</b:Year>
    <b:Month>June</b:Month>
    <b:Day>19</b:Day>
    <b:URL>https://www.ajmc.com/journals/ajac/2017/2017-vol5-n2/the-promises-and-pitfalls-of-telemedicine</b:URL>
    <b:Author>
      <b:Author>
        <b:NameList>
          <b:Person>
            <b:Last>Sherling MD</b:Last>
            <b:First>Dawn</b:First>
          </b:Person>
          <b:Person>
            <b:Last>Sherling MD, MBA</b:Last>
            <b:First>Michael</b:First>
          </b:Person>
        </b:NameList>
      </b:Author>
    </b:Author>
    <b:RefOrder>2</b:RefOrder>
  </b:Source>
  <b:Source>
    <b:Tag>CDC18</b:Tag>
    <b:SourceType>InternetSite</b:SourceType>
    <b:Guid>{4DF7739A-CDB7-4BB6-BED4-CF2A093E27B2}</b:Guid>
    <b:Title>CDC</b:Title>
    <b:InternetSiteTitle>Health and Economic Cost of Chronic Disease</b:InternetSiteTitle>
    <b:Year>2018</b:Year>
    <b:Month>August</b:Month>
    <b:Day>7</b:Day>
    <b:URL>https://www.cdc.gov/chronicdisease/about/costs/index.htm</b:URL>
    <b:RefOrder>3</b:RefOrder>
  </b:Source>
  <b:Source>
    <b:Tag>ADD17</b:Tag>
    <b:SourceType>InternetSite</b:SourceType>
    <b:Guid>{94656EC0-95C5-4ED9-AA13-501E80F668E7}</b:Guid>
    <b:Title>ADD ON DATA</b:Title>
    <b:InternetSiteTitle>5 Ways telemedicine benefits providers and patients</b:InternetSiteTitle>
    <b:Year>2017</b:Year>
    <b:Month>September</b:Month>
    <b:Day>12</b:Day>
    <b:URL>https://www.addondata.com/2017/09/5-ways-telemedicine-benefits-providers-and-patients/</b:URL>
    <b:RefOrder>4</b:RefOrder>
  </b:Source>
  <b:Source>
    <b:Tag>Eys16</b:Tag>
    <b:SourceType>InternetSite</b:SourceType>
    <b:Guid>{0C9F1354-D359-4772-AC4A-3A36B2731404}</b:Guid>
    <b:Title>NCBI</b:Title>
    <b:InternetSiteTitle>Acceptability, Feasibility, and cost of telemedicine</b:InternetSiteTitle>
    <b:Year>2016</b:Year>
    <b:Month>May</b:Month>
    <b:Day>18</b:Day>
    <b:URL>https://www.ncbi.nlm.nih.gov/pmc/articles/PMC4906238/</b:URL>
    <b:Author>
      <b:Author>
        <b:NameList>
          <b:Person>
            <b:Last>Eysenbach</b:Last>
            <b:First>Gunther</b:First>
          </b:Person>
        </b:NameList>
      </b:Author>
    </b:Author>
    <b:RefOrder>5</b:RefOrder>
  </b:Source>
  <b:Source>
    <b:Tag>Ame</b:Tag>
    <b:SourceType>InternetSite</b:SourceType>
    <b:Guid>{6AA16460-1691-4A25-8396-D0A3DF61FE44}</b:Guid>
    <b:Title>American Telemedicine Association</b:Title>
    <b:InternetSiteTitle>American Telemedicine Association</b:InternetSiteTitle>
    <b:URL>http://www.americantelemed.org/home</b:URL>
    <b:RefOrder>6</b:RefOrder>
  </b:Source>
</b:Sources>
</file>

<file path=customXml/itemProps1.xml><?xml version="1.0" encoding="utf-8"?>
<ds:datastoreItem xmlns:ds="http://schemas.openxmlformats.org/officeDocument/2006/customXml" ds:itemID="{8B812FCC-9733-4C29-BB3C-C659B8729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Education Management Corporation</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Lassitter</dc:creator>
  <cp:lastModifiedBy>Shannon Mathis</cp:lastModifiedBy>
  <cp:revision>4</cp:revision>
  <dcterms:created xsi:type="dcterms:W3CDTF">2018-09-17T18:35:00Z</dcterms:created>
  <dcterms:modified xsi:type="dcterms:W3CDTF">2018-09-20T14:02:00Z</dcterms:modified>
</cp:coreProperties>
</file>